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sz w:val="20"/>
          <w:szCs w:val="20"/>
          <w:highlight w:val="white"/>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WYOMING</w:t>
      </w:r>
    </w:p>
    <w:p w:rsidR="00000000" w:rsidDel="00000000" w:rsidP="00000000" w:rsidRDefault="00000000" w:rsidRPr="00000000" w14:paraId="00000199">
      <w:pPr>
        <w:widowControl w:val="0"/>
        <w:spacing w:before="230" w:line="228" w:lineRule="auto"/>
        <w:ind w:left="19"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rtl w:val="0"/>
        </w:rPr>
        <w:t xml:space="preserve"> – Silent.</w:t>
      </w:r>
    </w:p>
    <w:p w:rsidR="00000000" w:rsidDel="00000000" w:rsidP="00000000" w:rsidRDefault="00000000" w:rsidRPr="00000000" w14:paraId="0000019A">
      <w:pPr>
        <w:widowControl w:val="0"/>
        <w:spacing w:before="230" w:line="228" w:lineRule="auto"/>
        <w:ind w:left="19"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the WY Liquor Division is the exclusive wholesale distributor and seller of alcoholic liquor within Wyoming. (Wyo. Stat. § 12-2-301(a)).</w:t>
      </w:r>
    </w:p>
    <w:p w:rsidR="00000000" w:rsidDel="00000000" w:rsidP="00000000" w:rsidRDefault="00000000" w:rsidRPr="00000000" w14:paraId="0000019B">
      <w:pPr>
        <w:widowControl w:val="0"/>
        <w:spacing w:before="230" w:line="228" w:lineRule="auto"/>
        <w:ind w:left="19"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rtl w:val="0"/>
        </w:rPr>
        <w:t xml:space="preserve"> – No, however, manufacturers may sell liquor to consumers at their licensed premises and at no more than two satellite locations (Wyo. Stat. § 12-5-201; § 12-2-203).</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19C">
      <w:pPr>
        <w:widowControl w:val="0"/>
        <w:spacing w:before="230" w:line="228" w:lineRule="auto"/>
        <w:ind w:left="19" w:right="4" w:firstLine="2.0000000000000018"/>
        <w:jc w:val="both"/>
        <w:rPr>
          <w:rFonts w:ascii="Calibri" w:cs="Calibri" w:eastAsia="Calibri" w:hAnsi="Calibri"/>
          <w:color w:val="1155cc"/>
          <w:u w:val="single"/>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Department of Revenue waived penalty and interest for severance taxes that are filed late through the month of June. Sales and use tax filings will be handled on a case by case basis.</w:t>
        <w:br w:type="textWrapping"/>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1">
        <w:r w:rsidDel="00000000" w:rsidR="00000000" w:rsidRPr="00000000">
          <w:rPr>
            <w:rFonts w:ascii="Calibri" w:cs="Calibri" w:eastAsia="Calibri" w:hAnsi="Calibri"/>
            <w:color w:val="1155cc"/>
            <w:u w:val="single"/>
            <w:rtl w:val="0"/>
          </w:rPr>
          <w:t xml:space="preserve">https://drive.google.com/file/d/1nERE7Lh-vlSSU2Btu1oXxnVDr2OQ5MBk/view</w:t>
        </w:r>
      </w:hyperlink>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19D">
      <w:pPr>
        <w:widowControl w:val="0"/>
        <w:spacing w:before="230" w:line="228" w:lineRule="auto"/>
        <w:ind w:left="19" w:right="4" w:firstLine="2.0000000000000018"/>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Citation (shipment)</w:t>
      </w:r>
    </w:p>
    <w:p w:rsidR="00000000" w:rsidDel="00000000" w:rsidP="00000000" w:rsidRDefault="00000000" w:rsidRPr="00000000" w14:paraId="0000019E">
      <w:pPr>
        <w:widowControl w:val="0"/>
        <w:spacing w:before="230" w:line="228" w:lineRule="auto"/>
        <w:ind w:left="19" w:right="4" w:firstLine="2.0000000000000018"/>
        <w:jc w:val="both"/>
        <w:rPr>
          <w:rFonts w:ascii="Calibri" w:cs="Calibri" w:eastAsia="Calibri" w:hAnsi="Calibri"/>
          <w:b w:val="1"/>
        </w:rPr>
      </w:pPr>
      <w:r w:rsidDel="00000000" w:rsidR="00000000" w:rsidRPr="00000000">
        <w:rPr>
          <w:rFonts w:ascii="Calibri" w:cs="Calibri" w:eastAsia="Calibri" w:hAnsi="Calibri"/>
          <w:b w:val="1"/>
          <w:rtl w:val="0"/>
        </w:rPr>
        <w:t xml:space="preserve">WY Statutes</w:t>
      </w:r>
    </w:p>
    <w:p w:rsidR="00000000" w:rsidDel="00000000" w:rsidP="00000000" w:rsidRDefault="00000000" w:rsidRPr="00000000" w14:paraId="0000019F">
      <w:pPr>
        <w:widowControl w:val="0"/>
        <w:spacing w:before="230" w:line="228" w:lineRule="auto"/>
        <w:ind w:left="19" w:right="4" w:firstLine="2.0000000000000018"/>
        <w:jc w:val="both"/>
        <w:rPr>
          <w:rFonts w:ascii="Calibri" w:cs="Calibri" w:eastAsia="Calibri" w:hAnsi="Calibri"/>
          <w:b w:val="1"/>
        </w:rPr>
      </w:pPr>
      <w:r w:rsidDel="00000000" w:rsidR="00000000" w:rsidRPr="00000000">
        <w:rPr>
          <w:rFonts w:ascii="Calibri" w:cs="Calibri" w:eastAsia="Calibri" w:hAnsi="Calibri"/>
          <w:b w:val="1"/>
          <w:rtl w:val="0"/>
        </w:rPr>
        <w:t xml:space="preserve">12-2-301. Generally.</w:t>
        <w:br w:type="textWrapping"/>
      </w:r>
      <w:r w:rsidDel="00000000" w:rsidR="00000000" w:rsidRPr="00000000">
        <w:rPr>
          <w:rFonts w:ascii="Calibri" w:cs="Calibri" w:eastAsia="Calibri" w:hAnsi="Calibri"/>
          <w:rtl w:val="0"/>
        </w:rPr>
        <w:t xml:space="preserve">(a) Except as provided in W.S. 12-2-203(g), the division is the exclusive wholesale distributor and seller of alcoholic liquor within Wyoming. It is granted the sole right to sell alcoholic liquors at wholesale, and no licensee or permittee who is granted the right to sell, distribute or receive alcoholic liquors at retail shall purchase any alcoholic liquors from any source other than the division, unless as authorized pursuant to W.S. 12-4-201(j) or as otherwise expressly authorized by state law. Any out-of-state shipment of alcoholic liquor or malt beverage into this state is prohibited unless otherwise expressly authorized by state law.</w:t>
      </w:r>
      <w:r w:rsidDel="00000000" w:rsidR="00000000" w:rsidRPr="00000000">
        <w:rPr>
          <w:rtl w:val="0"/>
        </w:rPr>
      </w:r>
    </w:p>
    <w:p w:rsidR="00000000" w:rsidDel="00000000" w:rsidP="00000000" w:rsidRDefault="00000000" w:rsidRPr="00000000" w14:paraId="000001A0">
      <w:pPr>
        <w:widowControl w:val="0"/>
        <w:spacing w:before="230" w:line="228" w:lineRule="auto"/>
        <w:ind w:left="19" w:right="4" w:firstLine="2.0000000000000018"/>
        <w:jc w:val="both"/>
        <w:rPr>
          <w:rFonts w:ascii="Calibri" w:cs="Calibri" w:eastAsia="Calibri" w:hAnsi="Calibri"/>
          <w:b w:val="1"/>
        </w:rPr>
      </w:pPr>
      <w:r w:rsidDel="00000000" w:rsidR="00000000" w:rsidRPr="00000000">
        <w:rPr>
          <w:rFonts w:ascii="Calibri" w:cs="Calibri" w:eastAsia="Calibri" w:hAnsi="Calibri"/>
          <w:b w:val="1"/>
          <w:rtl w:val="0"/>
        </w:rPr>
        <w:t xml:space="preserve">12-5-201. Location, regulation and restrictions as to place of sale; inspections.</w:t>
        <w:br w:type="textWrapping"/>
      </w:r>
      <w:r w:rsidDel="00000000" w:rsidR="00000000" w:rsidRPr="00000000">
        <w:rPr>
          <w:rFonts w:ascii="Calibri" w:cs="Calibri" w:eastAsia="Calibri" w:hAnsi="Calibri"/>
          <w:rtl w:val="0"/>
        </w:rPr>
        <w:t xml:space="preserve">(a) Except as otherwise provided in this section, the principal place in which alcoholic liquor and malt beverages are sold under a license shall be located in the licensed building for which the license is issued and as approved by the licensing authority. Alcoholic beverages may be served only in the licensed building and in an immediately adjacent fenced or enclosed area as approved by the local licensing authority. This adjacent area shall not be in another building. The licensing authority shall, as often as necessary, inspect the licensed building and adjacent areas where alcoholic beverages are served to insure that the licensee is in compliance with sanitation and fire hazard requirements and other applicable laws.</w:t>
      </w:r>
      <w:r w:rsidDel="00000000" w:rsidR="00000000" w:rsidRPr="00000000">
        <w:rPr>
          <w:rtl w:val="0"/>
        </w:rPr>
      </w:r>
    </w:p>
    <w:p w:rsidR="00000000" w:rsidDel="00000000" w:rsidP="00000000" w:rsidRDefault="00000000" w:rsidRPr="00000000" w14:paraId="000001A1">
      <w:pPr>
        <w:widowControl w:val="0"/>
        <w:spacing w:before="230" w:line="228" w:lineRule="auto"/>
        <w:ind w:left="19" w:right="4" w:firstLine="2.0000000000000018"/>
        <w:jc w:val="both"/>
        <w:rPr>
          <w:rFonts w:ascii="Calibri" w:cs="Calibri" w:eastAsia="Calibri" w:hAnsi="Calibri"/>
        </w:rPr>
      </w:pPr>
      <w:r w:rsidDel="00000000" w:rsidR="00000000" w:rsidRPr="00000000">
        <w:rPr>
          <w:rFonts w:ascii="Calibri" w:cs="Calibri" w:eastAsia="Calibri" w:hAnsi="Calibri"/>
          <w:b w:val="1"/>
          <w:rtl w:val="0"/>
        </w:rPr>
        <w:t xml:space="preserve">12-2-203. Manufacturing and rectifying; importing and industry representatives; licensing; fees.</w:t>
        <w:br w:type="textWrapping"/>
      </w:r>
      <w:r w:rsidDel="00000000" w:rsidR="00000000" w:rsidRPr="00000000">
        <w:rPr>
          <w:rFonts w:ascii="Calibri" w:cs="Calibri" w:eastAsia="Calibri" w:hAnsi="Calibri"/>
          <w:rtl w:val="0"/>
        </w:rPr>
        <w:t xml:space="preserve">(g) The local licensing authority may issue to the holder of a manufacturer's license granted under subsection (a) of this section who is a federally licensed distiller or rectifier:</w:t>
        <w:br w:type="textWrapping"/>
        <w:t xml:space="preserve">(i) A satellite manufacturer's permit which allows the permittee to sell product manufactured at the site identified on the manufacturer's license at not more than two (2) satellite locations within Wyoming separate from its manufacturing site under the original permit. Products sold at a manufacturer's satellite location may be obtained through the division as provided by W.S. 12-2-303(a). If a satellite location is situated within the property boundary of the manufacturing site, the product may be distributed directly from the permit holder's manufacturing site subject to W.S. 12-2-303(d). The satellite manufacturer's permit may be issued on application to the appropriate licensing authority. The local licensing authority may require a public hearing and the payment of an additional permit fee not to exceed one hundred dollars ($100.00) per satellite location. The satellite manufacturer's permit shall be subject to the terms and conditions of W.S. 12-4-106, the schedule of operating hours set pursuant to W.S. 12-5-101 and the licensed building provisions pursuant to W.S. 12-5-201.</w:t>
      </w:r>
    </w:p>
    <w:p w:rsidR="00000000" w:rsidDel="00000000" w:rsidP="00000000" w:rsidRDefault="00000000" w:rsidRPr="00000000" w14:paraId="000001A2">
      <w:pPr>
        <w:widowControl w:val="0"/>
        <w:spacing w:before="230" w:line="228" w:lineRule="auto"/>
        <w:ind w:left="19" w:right="4" w:firstLine="2.0000000000000018"/>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 to WY statutes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hyperlink r:id="rId12">
        <w:r w:rsidDel="00000000" w:rsidR="00000000" w:rsidRPr="00000000">
          <w:rPr>
            <w:rFonts w:ascii="Calibri" w:cs="Calibri" w:eastAsia="Calibri" w:hAnsi="Calibri"/>
            <w:color w:val="1155cc"/>
            <w:u w:val="single"/>
            <w:rtl w:val="0"/>
          </w:rPr>
          <w:t xml:space="preserve">https://wyoleg.gov/statutes/compress/title12.pdf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3">
      <w:pPr>
        <w:widowControl w:val="0"/>
        <w:spacing w:before="230" w:line="228" w:lineRule="auto"/>
        <w:ind w:left="19" w:right="4" w:firstLine="2.0000000000000018"/>
        <w:rPr>
          <w:rFonts w:ascii="Calibri" w:cs="Calibri" w:eastAsia="Calibri" w:hAnsi="Calibri"/>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4">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13, signed and enacted into law on February 2, 2021, does not permit direct-to-consumer shipping, but the legislation allows a manufacturer licensee with a satellite location to deliver or contract to have delivered their manufactured products to consumers. Sales of alcoholic liquors must take place in the licensed building and orders may be placed by phone, online, or through a mobile application. Deliveries must be completed during the licensee’s operating hours on the same day the alcoholic liquors are removed from the inventory of the licensed premise.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https://www.wyoleg.gov/2021/Enroll/HB0013.pdf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F31F7"/>
    <w:pPr>
      <w:tabs>
        <w:tab w:val="center" w:pos="4680"/>
        <w:tab w:val="right" w:pos="9360"/>
      </w:tabs>
      <w:spacing w:line="240" w:lineRule="auto"/>
    </w:pPr>
  </w:style>
  <w:style w:type="character" w:styleId="HeaderChar" w:customStyle="1">
    <w:name w:val="Header Char"/>
    <w:basedOn w:val="DefaultParagraphFont"/>
    <w:link w:val="Header"/>
    <w:uiPriority w:val="99"/>
    <w:rsid w:val="00AF31F7"/>
  </w:style>
  <w:style w:type="paragraph" w:styleId="Footer">
    <w:name w:val="footer"/>
    <w:basedOn w:val="Normal"/>
    <w:link w:val="FooterChar"/>
    <w:uiPriority w:val="99"/>
    <w:unhideWhenUsed w:val="1"/>
    <w:rsid w:val="00AF31F7"/>
    <w:pPr>
      <w:tabs>
        <w:tab w:val="center" w:pos="4680"/>
        <w:tab w:val="right" w:pos="9360"/>
      </w:tabs>
      <w:spacing w:line="240" w:lineRule="auto"/>
    </w:pPr>
  </w:style>
  <w:style w:type="character" w:styleId="FooterChar" w:customStyle="1">
    <w:name w:val="Footer Char"/>
    <w:basedOn w:val="DefaultParagraphFont"/>
    <w:link w:val="Footer"/>
    <w:uiPriority w:val="99"/>
    <w:rsid w:val="00AF31F7"/>
  </w:style>
  <w:style w:type="character" w:styleId="Hyperlink">
    <w:name w:val="Hyperlink"/>
    <w:basedOn w:val="DefaultParagraphFont"/>
    <w:uiPriority w:val="99"/>
    <w:unhideWhenUsed w:val="1"/>
    <w:rsid w:val="00B34ABC"/>
    <w:rPr>
      <w:color w:val="0000ff" w:themeColor="hyperlink"/>
      <w:u w:val="single"/>
    </w:rPr>
  </w:style>
  <w:style w:type="character" w:styleId="UnresolvedMention">
    <w:name w:val="Unresolved Mention"/>
    <w:basedOn w:val="DefaultParagraphFont"/>
    <w:uiPriority w:val="99"/>
    <w:semiHidden w:val="1"/>
    <w:unhideWhenUsed w:val="1"/>
    <w:rsid w:val="00B34ABC"/>
    <w:rPr>
      <w:color w:val="605e5c"/>
      <w:shd w:color="auto" w:fill="e1dfdd" w:val="clear"/>
    </w:rPr>
  </w:style>
  <w:style w:type="paragraph" w:styleId="FootnoteText">
    <w:name w:val="footnote text"/>
    <w:basedOn w:val="Normal"/>
    <w:link w:val="FootnoteTextChar"/>
    <w:uiPriority w:val="99"/>
    <w:semiHidden w:val="1"/>
    <w:unhideWhenUsed w:val="1"/>
    <w:rsid w:val="002C5D5B"/>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C5D5B"/>
    <w:rPr>
      <w:sz w:val="20"/>
      <w:szCs w:val="20"/>
    </w:rPr>
  </w:style>
  <w:style w:type="character" w:styleId="FootnoteReference">
    <w:name w:val="footnote reference"/>
    <w:basedOn w:val="DefaultParagraphFont"/>
    <w:uiPriority w:val="99"/>
    <w:semiHidden w:val="1"/>
    <w:unhideWhenUsed w:val="1"/>
    <w:rsid w:val="002C5D5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drive.google.com/file/d/1nERE7Lh-vlSSU2Btu1oXxnVDr2OQ5MBk/view" TargetMode="External"/><Relationship Id="rId10" Type="http://schemas.openxmlformats.org/officeDocument/2006/relationships/footer" Target="footer1.xml"/><Relationship Id="rId12" Type="http://schemas.openxmlformats.org/officeDocument/2006/relationships/hyperlink" Target="https://wyoleg.gov/statutes/compress/title12.pdf"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wyoleg.gov/2021/Enroll/HB0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hJHsDtQEKuSlA2U/B0xq+GPBg==">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2021-08-16T00:43:00Z</dcterms:created>
</cp:coreProperties>
</file>